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0013-8k_faraday.htm"/>
      <w:bookmarkStart w:id="1" w:name="ksea02900138k_farada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5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May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Faraday Future Intelligent Electric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505"/>
            <w:bookmarkEnd w:id="6"/>
            <w:r>
              <w:rPr>
                <w:b/>
                <w:sz w:val="20"/>
              </w:rPr>
              <w:t>001-39395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84-4720320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b/>
                <w:sz w:val="20"/>
              </w:rPr>
            </w:pPr>
            <w:bookmarkStart w:id="8" w:name="xdx_90C_edei--EntityAddressAddressLine1_"/>
            <w:bookmarkEnd w:id="8"/>
            <w:r>
              <w:rPr>
                <w:b/>
                <w:sz w:val="20"/>
              </w:rPr>
              <w:t>1990 E. Grand Avenue</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b/>
                <w:sz w:val="20"/>
              </w:rPr>
            </w:pPr>
            <w:bookmarkStart w:id="9" w:name="xdx_906_edei--EntityAddressCityOrTown_c2"/>
            <w:bookmarkEnd w:id="9"/>
            <w:r>
              <w:rPr>
                <w:b/>
                <w:sz w:val="20"/>
              </w:rPr>
              <w:t>El Segundo,</w:t>
            </w:r>
            <w:bookmarkStart w:id="10" w:name="xdx_90D_edei--EntityAddressStateOrProvin"/>
            <w:bookmarkEnd w:id="10"/>
            <w:r>
              <w:rPr>
                <w:b/>
                <w:sz w:val="20"/>
              </w:rPr>
              <w:t xml:space="preserve"> CA</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20"/>
              </w:rPr>
            </w:pPr>
            <w:bookmarkStart w:id="11" w:name="xdx_901_edei--EntityAddressPostalZipCode"/>
            <w:bookmarkEnd w:id="11"/>
            <w:r>
              <w:rPr>
                <w:b/>
                <w:sz w:val="20"/>
              </w:rPr>
              <w:t>90245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505__20"/>
      <w:bookmarkEnd w:id="12"/>
      <w:r>
        <w:rPr>
          <w:rFonts w:ascii="Times New Roman;Times;Serif" w:hAnsi="Times New Roman;Times;Serif"/>
          <w:b/>
          <w:i w:val="false"/>
          <w:caps w:val="false"/>
          <w:smallCaps w:val="false"/>
          <w:sz w:val="20"/>
        </w:rPr>
        <w:t xml:space="preserve">424) </w:t>
      </w:r>
      <w:bookmarkStart w:id="13" w:name="xdx_901_edei--LocalPhoneNumber_c20260505"/>
      <w:bookmarkEnd w:id="13"/>
      <w:r>
        <w:rPr>
          <w:rFonts w:ascii="Times New Roman;Times;Serif" w:hAnsi="Times New Roman;Times;Serif"/>
          <w:b/>
          <w:i w:val="false"/>
          <w:caps w:val="false"/>
          <w:smallCaps w:val="false"/>
          <w:sz w:val="20"/>
        </w:rPr>
        <w:t>276-7616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SolicitingMaterial_c202605"/>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22"/>
        <w:gridCol w:w="60"/>
        <w:gridCol w:w="1331"/>
        <w:gridCol w:w="60"/>
        <w:gridCol w:w="2032"/>
      </w:tblGrid>
      <w:tr>
        <w:trPr/>
        <w:tc>
          <w:tcPr>
            <w:tcW w:w="6722"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31"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032" w:type="dxa"/>
            <w:tcBorders>
              <w:bottom w:val="single" w:sz="12" w:space="0" w:color="000000"/>
            </w:tcBorders>
            <w:vAlign w:val="center"/>
          </w:tcPr>
          <w:p>
            <w:pPr>
              <w:pStyle w:val="TableContents"/>
              <w:bidi w:val="0"/>
              <w:spacing w:before="0" w:after="283"/>
              <w:jc w:val="center"/>
              <w:rPr>
                <w:b/>
                <w:sz w:val="20"/>
              </w:rPr>
            </w:pPr>
            <w:r>
              <w:rPr>
                <w:b/>
                <w:sz w:val="20"/>
              </w:rPr>
              <w:t xml:space="preserve">Name of each exchange on </w:t>
              <w:br/>
              <w:t>which registered</w:t>
            </w:r>
          </w:p>
        </w:tc>
      </w:tr>
      <w:tr>
        <w:trPr/>
        <w:tc>
          <w:tcPr>
            <w:tcW w:w="6722" w:type="dxa"/>
            <w:tcBorders/>
            <w:shd w:fill="CCEEFF" w:val="clear"/>
            <w:tcMar>
              <w:bottom w:w="0" w:type="dxa"/>
            </w:tcMar>
            <w:vAlign w:val="center"/>
          </w:tcPr>
          <w:p>
            <w:pPr>
              <w:pStyle w:val="TableContents"/>
              <w:bidi w:val="0"/>
              <w:spacing w:before="0" w:after="283"/>
              <w:jc w:val="center"/>
              <w:rPr>
                <w:sz w:val="20"/>
              </w:rPr>
            </w:pPr>
            <w:bookmarkStart w:id="18" w:name="xdx_90A_edei--Security12bTitle_c20260505"/>
            <w:bookmarkEnd w:id="18"/>
            <w:r>
              <w:rPr>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31" w:type="dxa"/>
            <w:tcBorders/>
            <w:shd w:fill="CCEEFF" w:val="clear"/>
            <w:tcMar>
              <w:bottom w:w="0" w:type="dxa"/>
            </w:tcMar>
            <w:vAlign w:val="center"/>
          </w:tcPr>
          <w:p>
            <w:pPr>
              <w:pStyle w:val="TableContents"/>
              <w:bidi w:val="0"/>
              <w:spacing w:before="0" w:after="283"/>
              <w:jc w:val="center"/>
              <w:rPr>
                <w:sz w:val="20"/>
              </w:rPr>
            </w:pPr>
            <w:bookmarkStart w:id="19" w:name="xdx_900_edei--TradingSymbol_c20260505__2"/>
            <w:bookmarkEnd w:id="19"/>
            <w:r>
              <w:rPr>
                <w:sz w:val="20"/>
              </w:rPr>
              <w:t>FFAI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32"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E_edei--SecurityExchangeName_c2026"/>
            <w:bookmarkEnd w:id="20"/>
            <w:r>
              <w:rPr>
                <w:sz w:val="20"/>
              </w:rPr>
              <w:t>Nasdaq Stock Market LLC</w:t>
            </w:r>
          </w:p>
        </w:tc>
      </w:tr>
      <w:tr>
        <w:trPr/>
        <w:tc>
          <w:tcPr>
            <w:tcW w:w="6722" w:type="dxa"/>
            <w:tcBorders/>
            <w:shd w:fill="FFFFFF" w:val="clear"/>
            <w:tcMar>
              <w:bottom w:w="0" w:type="dxa"/>
            </w:tcMar>
            <w:vAlign w:val="center"/>
          </w:tcPr>
          <w:p>
            <w:pPr>
              <w:pStyle w:val="TableContents"/>
              <w:bidi w:val="0"/>
              <w:spacing w:before="0" w:after="283"/>
              <w:jc w:val="center"/>
              <w:rPr>
                <w:sz w:val="20"/>
              </w:rPr>
            </w:pPr>
            <w:bookmarkStart w:id="21" w:name="xdx_901_edei--Security12bTitle_c20260505"/>
            <w:bookmarkEnd w:id="21"/>
            <w:r>
              <w:rPr>
                <w:sz w:val="20"/>
              </w:rPr>
              <w:t>Redeemable warrants, exercisable for shares of Class A common stock at an exercise price of $110,400.00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31" w:type="dxa"/>
            <w:tcBorders/>
            <w:shd w:fill="FFFFFF" w:val="clear"/>
            <w:tcMar>
              <w:bottom w:w="0" w:type="dxa"/>
            </w:tcMar>
            <w:vAlign w:val="center"/>
          </w:tcPr>
          <w:p>
            <w:pPr>
              <w:pStyle w:val="TableContents"/>
              <w:bidi w:val="0"/>
              <w:spacing w:before="0" w:after="283"/>
              <w:jc w:val="center"/>
              <w:rPr>
                <w:sz w:val="20"/>
              </w:rPr>
            </w:pPr>
            <w:bookmarkStart w:id="22" w:name="xdx_906_edei--TradingSymbol_c20260505__2"/>
            <w:bookmarkEnd w:id="22"/>
            <w:r>
              <w:rPr>
                <w:sz w:val="20"/>
              </w:rPr>
              <w:t>FFAIW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032"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0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Faraday Future Intelligent Electric Inc., a Delaware corporation (the “Company”) in its Current Report on Form 8 K filed with the Securities and Exchange Commission (the “SEC”) on April 17, 2026, Matthias Aydt resigned from the Board of Directors of the Company (the “Board”) effective April 14, 2026, and at that time informed the Board of his intention to resign as Co Global Chief Executive Officer at such time as the Board deemed appropriate. On May 5, 2026, the Board accepted Mr. Aydt’s resignation from his position as Co Global Chief Executive Officer, effective as of that date. Mr. Aydt remains employed by the Company as an advisor during an interim period and may further serve the Company in a different capacity to be determined between the Company and Mr. Aydt. There were no disagreements between the Company and Mr. Aydt that led to his decision to resign. Following Mr. Aydt’s resignation as Co Global Chief Executive Officer, the Board acknowledged and appointed Yueting Jia as the Company’s sole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Furthermore, on May 5, 2026, the Board promoted Jiawei Wang, previously the Company’s Global President, to the position of Global Executive Chairman. In this new role, Mr. Wang will assume certain responsibilities previously held by Mr. Aydt, including oversight of the Company’s finance, legal, and related governance and risk management functions, while coordinating closely with Mr. Jia.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Separately, on May 5, 2026, upon the recommendation of the Board’s Compensation Committee, the Board approved the following changes to the compensatory arrangements for each of Mr. Jia and Mr. Wang,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respect to Mr. Jia:</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retention bonus of $800,000 the (“Retention Bonus”), subject to the satisfaction of certain conditions, including a prorated claw back right if Mr. Jia fails to remain employed with the Company for at least forty-eight months beginning on May 5, 2026. The Retention Bonus shall be payable in two equal installments on (i) May 15, 2026 and (ii) May 15, 2027.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An annual grant of time-based restricted stock units (“RSUs”) having a grant date fair value equal to $5.94 million, vesting in four equal annual installments beginning on May 5, 2027, subject to Mr. Jia’s continued employment with the Company on each such vesting date.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annual grant of performance-based restricted stock units (“PSUs”) having a target grant date fair value equal to $5.94 million, vesting in equal installments on each of the first three anniversaries of the achievement of one or more applicable performance metrics to be approved by the Board, subject to Mr. Jia’s continued employment with the Company on each such vesting date.</w:t>
            </w:r>
          </w:p>
        </w:tc>
      </w:tr>
    </w:tbl>
    <w:p>
      <w:pPr>
        <w:pStyle w:val="TextBody"/>
        <w:bidi w:val="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monthly housing allowance of $8,000 (net of any taxes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respect to Mr. Wang:</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An annual base salary of $600,000 per year.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annual cash bonus target of $400,000, subject to the achievement of certain performance objectives established by the Board.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promotion bonus of $200,000 the (“Promotion Bonus”), subject to the satisfaction of certain conditions, including a prorated claw back right if Mr. Wang fails to remain employed with the Company for at least forty-eight months beginning on May 5, 2026. The Promotion Bonus shall be payable in two equal installments on (i) May 15, 2026 and (ii) May 15, 2027.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An annual grant of time-based RSUs having a grant date fair value equal to $1.5 million, vesting in four equal annual installments beginning on May 5, 2027, subject to Mr. Wang’s continued employment with the Company on each such vesting date.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annual grant of PSUs having a target grant date fair value equal to $1.5 million, vesting in equal installments on each of the first three anniversaries of the achievement of one or more applicable performance metrics to be approved by the Board, subject to Mr. Wang’s continued employment with the Company on each such vesting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monthly housing allowance of $6,000 (net of any taxes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Jia and Mr. Wang will continue to defer a portion of his annual base salary until May 31, 2026, as previously described by the Company in its Current Report on Form 8-K filed with the SEC on March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Except as described above, all other material terms of the compensation of each of Mr. Jia and Mr. Wang remain as previously disclosed by the Company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Additionally, on May 5, 2026, the Board appointed Chad Chen, currently a member of the Board and each of the Audit Committee, Compensation Committee and Nominating and Corporate Governance Committee of the Board, as the Lead Independent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10, 2026, the Company issued a press release with respect to foregoing. A copy of such press release is furnished hereto as Exhibit 99.1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485"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485" w:type="dxa"/>
            <w:tcBorders/>
            <w:shd w:fill="CCEEFF" w:val="clear"/>
            <w:tcMar>
              <w:bottom w:w="0" w:type="dxa"/>
            </w:tcMar>
            <w:vAlign w:val="center"/>
          </w:tcPr>
          <w:p>
            <w:pPr>
              <w:pStyle w:val="TableContents"/>
              <w:bidi w:val="0"/>
              <w:spacing w:before="0" w:after="283"/>
              <w:jc w:val="both"/>
              <w:rPr/>
            </w:pPr>
            <w:hyperlink w:anchor="ea029001301ex99-1.htm">
              <w:r>
                <w:rPr>
                  <w:rStyle w:val="InternetLink"/>
                  <w:sz w:val="20"/>
                </w:rPr>
                <w:t>Press release dated May 10,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84" w:type="dxa"/>
        <w:jc w:val="left"/>
        <w:tblInd w:w="0" w:type="dxa"/>
        <w:tblLayout w:type="fixed"/>
        <w:tblCellMar>
          <w:top w:w="0" w:type="dxa"/>
          <w:left w:w="0" w:type="dxa"/>
          <w:bottom w:w="0" w:type="dxa"/>
          <w:right w:w="0" w:type="dxa"/>
        </w:tblCellMar>
      </w:tblPr>
      <w:tblGrid>
        <w:gridCol w:w="1655"/>
        <w:gridCol w:w="964"/>
        <w:gridCol w:w="3765"/>
      </w:tblGrid>
      <w:tr>
        <w:trPr/>
        <w:tc>
          <w:tcPr>
            <w:tcW w:w="165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both"/>
              <w:rPr>
                <w:b/>
                <w:sz w:val="20"/>
              </w:rPr>
            </w:pPr>
            <w:r>
              <w:rPr>
                <w:b/>
                <w:sz w:val="20"/>
              </w:rPr>
              <w:t>FARADAY FUTURE INTELLIGENT ELECTRIC INC.</w:t>
            </w:r>
          </w:p>
        </w:tc>
      </w:tr>
      <w:tr>
        <w:trPr/>
        <w:tc>
          <w:tcPr>
            <w:tcW w:w="165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11, 2026</w:t>
            </w:r>
          </w:p>
        </w:tc>
        <w:tc>
          <w:tcPr>
            <w:tcW w:w="964" w:type="dxa"/>
            <w:tcBorders/>
            <w:vAlign w:val="center"/>
          </w:tcPr>
          <w:p>
            <w:pPr>
              <w:pStyle w:val="TableContents"/>
              <w:bidi w:val="0"/>
              <w:spacing w:before="0" w:after="283"/>
              <w:jc w:val="left"/>
              <w:rPr>
                <w:sz w:val="20"/>
              </w:rPr>
            </w:pPr>
            <w:r>
              <w:rPr>
                <w:sz w:val="20"/>
              </w:rPr>
              <w:t>By:</w:t>
            </w:r>
          </w:p>
        </w:tc>
        <w:tc>
          <w:tcPr>
            <w:tcW w:w="37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Koti Meka</w:t>
            </w:r>
          </w:p>
        </w:tc>
      </w:tr>
      <w:tr>
        <w:trPr/>
        <w:tc>
          <w:tcPr>
            <w:tcW w:w="1655"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sz w:val="20"/>
              </w:rPr>
            </w:pPr>
            <w:r>
              <w:rPr>
                <w:sz w:val="20"/>
              </w:rPr>
              <w:t xml:space="preserve">Name:  </w:t>
            </w:r>
          </w:p>
        </w:tc>
        <w:tc>
          <w:tcPr>
            <w:tcW w:w="3765" w:type="dxa"/>
            <w:tcBorders/>
            <w:vAlign w:val="center"/>
          </w:tcPr>
          <w:p>
            <w:pPr>
              <w:pStyle w:val="TableContents"/>
              <w:bidi w:val="0"/>
              <w:spacing w:before="0" w:after="283"/>
              <w:jc w:val="left"/>
              <w:rPr>
                <w:sz w:val="20"/>
              </w:rPr>
            </w:pPr>
            <w:r>
              <w:rPr>
                <w:sz w:val="20"/>
              </w:rPr>
              <w:t>Koti Meka</w:t>
            </w:r>
          </w:p>
        </w:tc>
      </w:tr>
      <w:tr>
        <w:trPr/>
        <w:tc>
          <w:tcPr>
            <w:tcW w:w="1655"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sz w:val="20"/>
              </w:rPr>
            </w:pPr>
            <w:r>
              <w:rPr>
                <w:sz w:val="20"/>
              </w:rPr>
              <w:t>Title:</w:t>
            </w:r>
          </w:p>
        </w:tc>
        <w:tc>
          <w:tcPr>
            <w:tcW w:w="3765" w:type="dxa"/>
            <w:tcBorders/>
            <w:vAlign w:val="center"/>
          </w:tcPr>
          <w:p>
            <w:pPr>
              <w:pStyle w:val="TableContents"/>
              <w:bidi w:val="0"/>
              <w:spacing w:before="0" w:after="283"/>
              <w:jc w:val="left"/>
              <w:rPr>
                <w:sz w:val="20"/>
              </w:rPr>
            </w:pPr>
            <w:r>
              <w:rPr>
                <w:sz w:val="20"/>
              </w:rPr>
              <w:t>Chief Financial Officer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001301ex99-1.htm"/>
      <w:bookmarkStart w:id="26" w:name="ksea0290013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Marks the Return of Its Founding Team: YT Jia Acknowledged and Appointed as Sole Global CEO and Jerry Wang Appointed Global Executive Chairman; FF to Announce Upgraded Transformation Initiatives Next Week to Begin a New Growth Chapter as a Physical AI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has acknowledged and appointed FF Founder YT Jia as Global CEO and Jerry Wang as Global Executive Chairman. The Board has also accepted Matthias Aydt’s resignation as Global Co-CEO and appointed independent director Chad Chen as Lead Independent Director.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leadership transition represents a significant organizational and governance change for the Company marking the return of the founding team and founder-driven entrepreneurial spirit at both the Board and core management levels, and represents a key step in deepening the execution of the Company’s Dual-Engine Strategy of “EAI Robotics + EAI EV,” creating long-term value for stockholders, and further reinforcing the Company’s guiding principle of putting stockholders first.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appointment of Jerry Wang, a core founding member of FF, as Global Executive Chairman is expected to further strengthen the Company’s closed-loop management from financing to operating results, reinforce an operating philosophy centered on business quality and financial performance, improve the efficiency and effectiveness of resource allocation, and accelerate strategy execution.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plans to announce an upgraded set of five transformation initiatives next week. With the full return of the founding team as a new starting point, the Company aims to cross its operating inflection point as quickly as possible, unlock FF’s intrinsic value, rebuild capital market trust and confidence, and enter its next phase of growth.</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 Angeles, CA (May 10, 2026)</w:t>
      </w:r>
      <w:r>
        <w:rPr>
          <w:rFonts w:ascii="Times New Roman;Times;Serif" w:hAnsi="Times New Roman;Times;Serif"/>
          <w:b w:val="false"/>
          <w:i w:val="false"/>
          <w:caps w:val="false"/>
          <w:smallCaps w:val="false"/>
          <w:sz w:val="20"/>
        </w:rPr>
        <w:t xml:space="preserve"> — Faraday Future Intelligent Electric Inc. (NASDAQ: FFAI) (“Faraday Future,” “FF” or the “Company”), a California-based global Embodied AI (EAI) ecosystem company, today announced a series of leadership and governance updates. The Company’s Board of Directors has acknowledged and appointed YT Jia as FF Global CEO and Jerry Wang as FF Global Executive Chairman. The Board has also accepted the resignation of Matthias Aydt from his position as Global Co-CEO and appointed independent director Chad Chen as Lead Independent Director. Mr. Aydt will temporarily continue to serve the Company as an internal advisor, while a new role is being discussed separately with the Company’s management team. The Company sincerely thanks Mr. Aydt for his years of dedication and contributions to 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appointments and changes became effective on May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Global CEO, Mr. Jia will oversee Product, EAI R&amp;D, Supply Chain, Manufacturing, Quality, UES, VLE and other business areas. He will jointly oversee Strategy, Capital Markets &amp; Investor Relations, Human Resources, Corporate Operations and AI IT, as well as subsidiaries and regional entities, together with Mr. Wang. Mr. Wang will directly oversee four core corporate functions: Finance, Legal, Government Affairs &amp; Strategic Cooperation, and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would like to thank the Company and the Board for their trust,” said YT. “FF will officially evolve into a U.S.-based Physical AI ecosystem company, focusing on two product engines within its EAI robotics business: EAI humanoid and bionic robots, and EAI automotive robots. By building a Three-in-One ecosystem consisting of Device, Data, and Brain &amp; Open-Source and Open Platform, FF aims to create an evolutionary flywheel of ‘scaled device delivery, data collection and training, continuous evolution of the EAI Brain, stronger product capability, and larger-scale delivery,’ with the goal of maximizing commercial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“100-Day Renewal” to the Founder’s Full Return, YT Jia Leading the Company into a New Growth Phase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year, since Mr. Jia was appointed Co-CEO in April 2025, he has launched a comprehensive “Ten-Punch Combo” transformation, driving progress across strategy, EAI products and technology, business execution, finance, capital markets, government partnerships and corporate compliance. These efforts have contributed to a meaningful improvement in the Company’s operating fundamentals.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most important achievements was the rollout of the Dual-Engine Strategy centered on “EAI Robotics + EAI EV,” with a clearer execution roadmap. As the priority business in the first phase of this strategy, EAI Robotics has shipped 68 units with positive unit gross margin and is working to convert its first-mover advantage into a sustainably leading position. In addition, the SEC investigation that lasted more than four years was concluded with no penalties, removing a historical overhang that had constrained the Company’s development and marking a renewed start for both the Company and its founder.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achievements, the Board recognized Mr. Jia’s strategic vision, leadership, execution capabilities and the unique value he has created, and acknowledged and appointed him as Global CEO. This acknowledgement marks the full return of FF’s founder-mode execution and founder spirit as the Company enters its next phase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is currently at a critical inflection point. The Company’s “Three-in-One” EAI Robotics strategy and recent execution milestones have gained recognition from both the capital markets and the education market, while product delivery is entering a key ramp-up stage, moving from “1 to N”—from initial deliveries to scaled deployment. At the same time, FFAI is in a 180-day period to regain compliance and must continue rebuilding market confidence. Against this backdrop, Mr. Jia’s acknowledgement as Global CEO carries several important strategic implications: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From a governance perspective:</w:t>
      </w:r>
      <w:r>
        <w:rPr>
          <w:rFonts w:ascii="Times New Roman;Times;Serif" w:hAnsi="Times New Roman;Times;Serif"/>
          <w:b w:val="false"/>
          <w:i w:val="false"/>
          <w:caps w:val="false"/>
          <w:smallCaps w:val="false"/>
          <w:sz w:val="20"/>
        </w:rPr>
        <w:t xml:space="preserve"> the optimized governance structure is expected to streamline decision-making on major matters, improve responsiveness, and enhance execution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From an organizational perspective:</w:t>
      </w:r>
      <w:r>
        <w:rPr>
          <w:rFonts w:ascii="Times New Roman;Times;Serif" w:hAnsi="Times New Roman;Times;Serif"/>
          <w:b w:val="false"/>
          <w:i w:val="false"/>
          <w:caps w:val="false"/>
          <w:smallCaps w:val="false"/>
          <w:sz w:val="20"/>
        </w:rPr>
        <w:t xml:space="preserve"> the founder’s return represents a powerful call to action for all employees. The entrepreneurial culture of relentless execution championed by Mr. Jia, together with his commitment to “promises made, promises kept” as demonstrated through 53 consecutive weekly investor reports, forms an important foundation for FF’s organizational cohesion and execution momentum.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From a business perspective:</w:t>
      </w:r>
      <w:r>
        <w:rPr>
          <w:rFonts w:ascii="Times New Roman;Times;Serif" w:hAnsi="Times New Roman;Times;Serif"/>
          <w:b w:val="false"/>
          <w:i w:val="false"/>
          <w:caps w:val="false"/>
          <w:smallCaps w:val="false"/>
          <w:sz w:val="20"/>
        </w:rPr>
        <w:t xml:space="preserve"> As the architect and core driving force of the EAI Dual-Engine Strategy, Mr. Jia is positioned to make more decisive decisions with reduced organizational friction. Moreover, with cross-industry experience spanning intelligent EV and AI, along with more than a decade of hands-on experience in the U.S. market, his direct leadership of the business is expected to minimize strategy transmission loss, accelerating the conversion of first-mover advantages into an almost unassailable competitive moat through the founder’s unique determination and bold decisiveness.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From a capital perspective:</w:t>
      </w:r>
      <w:r>
        <w:rPr>
          <w:rFonts w:ascii="Times New Roman;Times;Serif" w:hAnsi="Times New Roman;Times;Serif"/>
          <w:b w:val="false"/>
          <w:i w:val="false"/>
          <w:caps w:val="false"/>
          <w:smallCaps w:val="false"/>
          <w:sz w:val="20"/>
        </w:rPr>
        <w:t xml:space="preserve"> As the company’s earliest investors, the founding team is naturally and deeply aligned with stockholder interests. This alignment is expected to help attract strategic investors and long-term capital, while supporting the release of the Company’s intrinsic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Jerry Wang Appointed Global Executive Chairman: Enhancing Company's Governance Structure and Strengthening Closed-loop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core founding member of the company, Mr. Wang has been deeply involved in the company’s key operations and capital initiatives for years, playing a central role in major financing transactions, critical compliance efforts, strategic partnerships, and resource integration initiatives throughout the company’s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appointment further strengthens the company’s closed-loop management from financing to operating results, as well as its operating philosophy of placing operational quality and financial performance at the core. It will also help improve the efficiency and effectiveness of resource allocation, maximizing value creation under limited resources. Through clearer performance targets, more defined risk boundaries, and a clearer path toward value creation, the company aims to continuously strengthen investor confidence and attract long-term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EAI Robot Business Advancing at Full Speed, Five Upgraded Transformation Initiatives to be Announced Next Week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FF had shipped 68 EAI robots with positive gross margins and will continue accelerating production ramp-up in May, steadily progressing toward its first-season delivery target of 200 units by the end of June. The company expects cumulative shipments to exceed 1,000 units in 2026 and aims to turn its first-mover advantage as the first U.S. company to sell and deliver both humanoid and bionic robots, as well as the first to fully expand into the education market, into a sustainably leading momentum.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week, the new management team will officially announce the upgraded five transformation initiatives evolved from the original “Ten-Punch Combo” transformations. This will be a declaration of strategic re-launch for the next phase, under the historical context of the founding team fully at the helm, the deepening implementation of the Dual-Engine Strategy, and the robotics business entering a critical growth phase. The company will take the founder’s return as a new starting point, with the Dual-Engine Strategy serving as the central axis and “Stockholders First” as its guiding principle, to drive the company toward rapidly crossing its operational inflection point, rebuilding confidence in the capital markets, and unlocking its true value — so that all long-term stockholders and users can truly share in the value they deserve.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FARADAY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is a California-based global intelligent Company founded in 2014 and is dedicated to reshaping the future of mobility through vehicle electrification, intelligent technologies, and AI innovation. Its flagship vehicle, the FF 91, began deliveries in 2023 and reflects the brand’s pursuit of ultra-luxury, cutting-edge technology, and high performance. FF’s second brand, FX, targets the high-volume mainstream vehicle market with its first model, the Super One, positioned as a first-class EAI-MPV. FF recently announced its entry into the Embodied AI Robotics business with sales beginning this year, connecting its future strategy of bringing a new era of EAI vehicles and EAI robotics. For more information, please visit https://www.ff.com/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includes “forward 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potential future legal actions against alleged illegal market manipulation or similar improper activities, and FF’s entry into the embodied AI robotics market and robotics deliveries and development, involve a number of known and unknown risks, uncertainties, assumptions and other important factors, many of which are outside the Company’s control, which could cause actual results or outcomes to differ materially from those discussed in the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may affect actual results or outcomes include, among others: the Company’s ability to timely regain compliance with Nasdaq’s minimum bid requirement; the Company’s common stock will be suspended from trading on Nasdaq if it’s closing price is $0.10 or less for 10 consecutive trading days; the Company’s ability to continue as a going concern and improve its liquidity and financial position; the Company’s ability to pay its outstanding obligations, which it currently lacks; the availability of sufficient share capital to meet its current obligations and execute on its strategy, which the Company currently lacks; the agreement of stockholders to substantially increase the Company’s share capital, which could result in substantial additional dilution; the willingness of convertible debt investors to fund the Company while it lacks sufficient share capital for conversions; demand for the Company’s robotics products; the ability of B2B preorder companies to locate customers to purchase our robotics products, on which their nonbinding preorders substantially depend; competition in the robotics industry, which includes companies with far superior experience, funding and name recognition;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demand from automobile dealers for robotics products; the Company's ability to homologate FX vehicles for sale; the Company’s ability to secure the necessary funding to execute on the FX strategy, which is substantial; the Company’s ability to secure an occupancy certificate covering all of its Hanford facility;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substantial losses and expectation of continued losses; the success of the Company’s payroll expense reduction plan; the Company’s ability to execute on its plans to develop and market its vehicles and the timing of these development programs; the Company’s estimates of the size of the markets for its vehicles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cover future warranty claims;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10-K filed with the SEC on March 31, 2025, and Form 10-Qs for the quarters ended June 30, 2025 and September 30, 2025 filed with the SEC on May 9, 2025, August 19, 2025 and November 21, 2025, respectively, and other documents filed by the Company from time to time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(English): ir@ff.com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(Chinese): cn-ir@faradayfuture.com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john.schilling@ff.com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3634</Words>
  <Characters>20364</Characters>
  <CharactersWithSpaces>24008</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